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2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50"/>
        <w:gridCol w:w="2561"/>
        <w:gridCol w:w="5128"/>
        <w:gridCol w:w="545"/>
        <w:gridCol w:w="1740"/>
      </w:tblGrid>
      <w:tr>
        <w:trPr>
          <w:trHeight w:val="1628" w:hRule="atLeast"/>
        </w:trPr>
        <w:tc>
          <w:tcPr>
            <w:tcW w:w="10224"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rHeight w:val="1198" w:hRule="atLeast"/>
        </w:trPr>
        <w:tc>
          <w:tcPr>
            <w:tcW w:w="10224"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b w:val="false"/>
                <w:sz w:val="52"/>
                <w:szCs w:val="52"/>
              </w:rPr>
            </w:pPr>
            <w:r>
              <w:rPr>
                <w:sz w:val="34"/>
                <w:szCs w:val="34"/>
              </w:rPr>
              <w:t>Нижегородской области</w:t>
            </w:r>
          </w:p>
        </w:tc>
      </w:tr>
      <w:tr>
        <w:trPr>
          <w:trHeight w:val="1229" w:hRule="atLeast"/>
          <w:cantSplit w:val="true"/>
        </w:trPr>
        <w:tc>
          <w:tcPr>
            <w:tcW w:w="10224" w:type="dxa"/>
            <w:gridSpan w:val="5"/>
            <w:tcBorders/>
          </w:tcPr>
          <w:p>
            <w:pPr>
              <w:pStyle w:val="Header"/>
              <w:tabs>
                <w:tab w:val="left" w:pos="708" w:leader="none"/>
                <w:tab w:val="center" w:pos="4677" w:leader="none"/>
                <w:tab w:val="right" w:pos="9355" w:leader="none"/>
              </w:tabs>
              <w:jc w:val="center"/>
              <w:rPr>
                <w:b/>
                <w:sz w:val="52"/>
                <w:szCs w:val="52"/>
              </w:rPr>
            </w:pPr>
            <w:r>
              <w:rPr>
                <w:b/>
                <w:sz w:val="52"/>
                <w:szCs w:val="52"/>
              </w:rPr>
            </w:r>
          </w:p>
          <w:p>
            <w:pPr>
              <w:pStyle w:val="Header"/>
              <w:tabs>
                <w:tab w:val="left" w:pos="708" w:leader="none"/>
                <w:tab w:val="center" w:pos="4677" w:leader="none"/>
                <w:tab w:val="right" w:pos="9355" w:leader="none"/>
              </w:tabs>
              <w:jc w:val="center"/>
              <w:rPr>
                <w:b/>
                <w:sz w:val="36"/>
                <w:szCs w:val="36"/>
              </w:rPr>
            </w:pPr>
            <w:r>
              <w:rPr>
                <w:b/>
                <w:sz w:val="52"/>
                <w:szCs w:val="52"/>
              </w:rPr>
              <w:t xml:space="preserve">ПОСТАНОВЛЕНИЕ </w:t>
            </w:r>
          </w:p>
        </w:tc>
      </w:tr>
      <w:tr>
        <w:trPr>
          <w:trHeight w:val="368" w:hRule="atLeast"/>
        </w:trPr>
        <w:tc>
          <w:tcPr>
            <w:tcW w:w="250" w:type="dxa"/>
            <w:tcBorders/>
          </w:tcPr>
          <w:p>
            <w:pPr>
              <w:pStyle w:val="Normal"/>
              <w:rPr>
                <w:b/>
                <w:bCs/>
                <w:sz w:val="32"/>
                <w:szCs w:val="32"/>
              </w:rPr>
            </w:pPr>
            <w:r>
              <w:rPr>
                <w:b/>
                <w:bCs/>
                <w:sz w:val="32"/>
                <w:szCs w:val="32"/>
              </w:rPr>
            </w:r>
          </w:p>
        </w:tc>
        <w:tc>
          <w:tcPr>
            <w:tcW w:w="2561" w:type="dxa"/>
            <w:tcBorders>
              <w:bottom w:val="single" w:sz="4" w:space="0" w:color="000000"/>
            </w:tcBorders>
          </w:tcPr>
          <w:p>
            <w:pPr>
              <w:pStyle w:val="Normal"/>
              <w:rPr>
                <w:szCs w:val="28"/>
              </w:rPr>
            </w:pPr>
            <w:r>
              <w:rPr>
                <w:szCs w:val="28"/>
              </w:rPr>
              <w:t>12.04.2024 г.</w:t>
            </w:r>
          </w:p>
        </w:tc>
        <w:tc>
          <w:tcPr>
            <w:tcW w:w="512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5" w:type="dxa"/>
            <w:tcBorders/>
          </w:tcPr>
          <w:p>
            <w:pPr>
              <w:pStyle w:val="Normal"/>
              <w:rPr>
                <w:szCs w:val="28"/>
              </w:rPr>
            </w:pPr>
            <w:r>
              <w:rPr>
                <w:szCs w:val="28"/>
              </w:rPr>
              <w:t>№</w:t>
            </w:r>
          </w:p>
        </w:tc>
        <w:tc>
          <w:tcPr>
            <w:tcW w:w="1740" w:type="dxa"/>
            <w:tcBorders>
              <w:bottom w:val="single" w:sz="4" w:space="0" w:color="000000"/>
            </w:tcBorders>
          </w:tcPr>
          <w:p>
            <w:pPr>
              <w:pStyle w:val="Normal"/>
              <w:rPr>
                <w:szCs w:val="28"/>
              </w:rPr>
            </w:pPr>
            <w:r>
              <w:rPr>
                <w:szCs w:val="28"/>
              </w:rPr>
              <w:t>439</w:t>
            </w:r>
            <w:bookmarkStart w:id="0" w:name="_Hlk126312873"/>
            <w:bookmarkEnd w:id="0"/>
          </w:p>
        </w:tc>
      </w:tr>
    </w:tbl>
    <w:p>
      <w:pPr>
        <w:pStyle w:val="Normal"/>
        <w:jc w:val="center"/>
        <w:rPr>
          <w:b/>
          <w:sz w:val="16"/>
          <w:szCs w:val="16"/>
          <w:lang w:val="en-US"/>
        </w:rPr>
      </w:pPr>
      <w:r>
        <w:rPr>
          <w:b/>
          <w:sz w:val="16"/>
          <w:szCs w:val="16"/>
          <w:lang w:val="en-US"/>
        </w:rPr>
      </w:r>
    </w:p>
    <w:p>
      <w:pPr>
        <w:pStyle w:val="Style91"/>
        <w:widowControl/>
        <w:spacing w:lineRule="auto" w:line="240"/>
        <w:jc w:val="center"/>
        <w:rPr>
          <w:b/>
          <w:sz w:val="28"/>
          <w:szCs w:val="28"/>
        </w:rPr>
      </w:pPr>
      <w:bookmarkStart w:id="1" w:name="_Hlk158044099"/>
      <w:r>
        <w:rPr>
          <w:b/>
          <w:sz w:val="28"/>
          <w:szCs w:val="28"/>
        </w:rPr>
        <w:t xml:space="preserve">Об утверждении порядка </w:t>
      </w:r>
      <w:bookmarkEnd w:id="1"/>
      <w:r>
        <w:rPr>
          <w:rStyle w:val="FontStyle23"/>
          <w:b/>
          <w:sz w:val="28"/>
          <w:szCs w:val="28"/>
        </w:rPr>
        <w:t>предоставления субсидии на возмещение производителям зерновых культур части затрат на производство и реализацию зерновых культур</w:t>
      </w:r>
    </w:p>
    <w:p>
      <w:pPr>
        <w:pStyle w:val="Normal"/>
        <w:jc w:val="center"/>
        <w:rPr>
          <w:b/>
          <w:sz w:val="10"/>
          <w:szCs w:val="10"/>
        </w:rPr>
      </w:pPr>
      <w:r>
        <w:rPr>
          <w:b/>
          <w:sz w:val="10"/>
          <w:szCs w:val="10"/>
        </w:rPr>
      </w:r>
    </w:p>
    <w:p>
      <w:pPr>
        <w:pStyle w:val="Normal"/>
        <w:ind w:firstLine="709"/>
        <w:jc w:val="both"/>
        <w:rPr>
          <w:szCs w:val="28"/>
        </w:rPr>
      </w:pPr>
      <w:r>
        <w:rPr>
          <w:szCs w:val="28"/>
        </w:rPr>
      </w:r>
    </w:p>
    <w:p>
      <w:pPr>
        <w:pStyle w:val="Normal"/>
        <w:ind w:firstLine="567"/>
        <w:jc w:val="both"/>
        <w:rPr>
          <w:color w:val="FF0000"/>
        </w:rPr>
      </w:pPr>
      <w:r>
        <w:rPr/>
        <w:t xml:space="preserve">В соответствии с Общими требованиями </w:t>
      </w:r>
      <w:hyperlink r:id="rId3">
        <w:r>
          <w:rPr>
            <w:rStyle w:val="Style6"/>
            <w:szCs w:val="28"/>
          </w:rPr>
          <w:t>Правил</w:t>
        </w:r>
      </w:hyperlink>
      <w:r>
        <w:rPr>
          <w:szCs w:val="28"/>
        </w:rPr>
        <w:t xml:space="preserve">ами предоставления и распределения субсидий из федерального бюджета бюджетам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являющимися приложением 14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bookmarkStart w:id="2" w:name="_Hlk162958797"/>
      <w:r>
        <w:rPr>
          <w:szCs w:val="28"/>
        </w:rPr>
        <w:t xml:space="preserve">Порядком и условиями предоставления субсидий на возмещение производителям зерновых культур части затрат на производство и реализацию зерновых культур, </w:t>
      </w:r>
      <w:r>
        <w:rPr>
          <w:bCs/>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 </w:t>
      </w:r>
      <w:r>
        <w:rPr>
          <w:szCs w:val="28"/>
        </w:rPr>
        <w:t>утвержденными постановлением Правительства Нижегородской области от 9 марта 2023 г. №193</w:t>
      </w:r>
      <w:bookmarkEnd w:id="2"/>
      <w:r>
        <w:rPr>
          <w:szCs w:val="28"/>
        </w:rPr>
        <w:t xml:space="preserve">, Уставом Ардатовского муниципального округа, в соответствии со статьей 78 Бюджетного Кодекса Российской Федерации администрация Ардатовского муниципального округа Нижегородской области </w:t>
      </w:r>
      <w:r>
        <w:rPr>
          <w:b/>
          <w:szCs w:val="28"/>
        </w:rPr>
        <w:t>п о с т а н о в л я</w:t>
      </w:r>
      <w:r>
        <w:rPr>
          <w:b/>
        </w:rPr>
        <w:t xml:space="preserve"> е т</w:t>
      </w:r>
      <w:r>
        <w:rPr/>
        <w:t>:</w:t>
      </w:r>
      <w:r>
        <w:rPr>
          <w:color w:val="FF0000"/>
        </w:rPr>
        <w:t xml:space="preserve"> </w:t>
      </w:r>
    </w:p>
    <w:p>
      <w:pPr>
        <w:pStyle w:val="Normal"/>
        <w:jc w:val="both"/>
        <w:rPr>
          <w:color w:val="FF0000"/>
          <w:szCs w:val="28"/>
        </w:rPr>
      </w:pPr>
      <w:r>
        <w:rPr>
          <w:color w:val="FF0000"/>
          <w:szCs w:val="28"/>
        </w:rPr>
      </w:r>
    </w:p>
    <w:p>
      <w:pPr>
        <w:pStyle w:val="ListParagraph"/>
        <w:numPr>
          <w:ilvl w:val="0"/>
          <w:numId w:val="2"/>
        </w:numPr>
        <w:shd w:val="clear" w:color="auto" w:fill="FFFFFF"/>
        <w:ind w:firstLine="567" w:left="0"/>
        <w:jc w:val="both"/>
        <w:rPr>
          <w:bCs/>
          <w:szCs w:val="28"/>
        </w:rPr>
      </w:pPr>
      <w:r>
        <w:rPr>
          <w:szCs w:val="28"/>
        </w:rPr>
        <w:t xml:space="preserve">Утвердить прилагаемый порядок предоставления субсидии на </w:t>
      </w:r>
      <w:r>
        <w:rPr>
          <w:rStyle w:val="FontStyle23"/>
          <w:sz w:val="28"/>
          <w:szCs w:val="28"/>
        </w:rPr>
        <w:t>предоставление субсидии на возмещение производителям зерновых культур части затрат на производство и реализацию зерновых культур</w:t>
      </w:r>
      <w:r>
        <w:rPr>
          <w:bCs/>
          <w:szCs w:val="28"/>
        </w:rPr>
        <w:t xml:space="preserve">; </w:t>
      </w:r>
      <w:bookmarkStart w:id="3" w:name="_Hlk156468283"/>
    </w:p>
    <w:p>
      <w:pPr>
        <w:pStyle w:val="ListParagraph"/>
        <w:numPr>
          <w:ilvl w:val="0"/>
          <w:numId w:val="2"/>
        </w:numPr>
        <w:shd w:val="clear" w:color="auto" w:fill="FFFFFF"/>
        <w:ind w:firstLine="567" w:left="0"/>
        <w:jc w:val="both"/>
        <w:rPr>
          <w:szCs w:val="28"/>
        </w:rPr>
      </w:pPr>
      <w:r>
        <w:rPr>
          <w:szCs w:val="28"/>
        </w:rPr>
        <w:t>Постановление администрации Ардатовского муниципального округа Нижегородской области от 21.04.2023 г. № 459 «</w:t>
      </w:r>
      <w:bookmarkStart w:id="4" w:name="_Hlk130308109"/>
      <w:bookmarkStart w:id="5" w:name="_Hlk130309527"/>
      <w:r>
        <w:rPr>
          <w:bCs/>
          <w:szCs w:val="28"/>
        </w:rPr>
        <w:t xml:space="preserve">Об утверждении порядка </w:t>
      </w:r>
      <w:bookmarkEnd w:id="4"/>
      <w:bookmarkEnd w:id="5"/>
      <w:r>
        <w:rPr>
          <w:bCs/>
          <w:szCs w:val="28"/>
        </w:rPr>
        <w:t>предоставления субсидии из местного бюджета на возмещение производителям зерновых культур части затрат на производство и реализацию зерновых культур</w:t>
      </w:r>
      <w:r>
        <w:rPr>
          <w:szCs w:val="28"/>
        </w:rPr>
        <w:t>», отменить.</w:t>
      </w:r>
    </w:p>
    <w:p>
      <w:pPr>
        <w:pStyle w:val="ListParagraph"/>
        <w:numPr>
          <w:ilvl w:val="0"/>
          <w:numId w:val="2"/>
        </w:numPr>
        <w:shd w:val="clear" w:color="auto" w:fill="FFFFFF"/>
        <w:ind w:firstLine="567"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ListParagraph"/>
        <w:numPr>
          <w:ilvl w:val="1"/>
          <w:numId w:val="3"/>
        </w:numPr>
        <w:shd w:val="clear" w:color="auto" w:fill="FFFFFF"/>
        <w:ind w:firstLine="702" w:left="0"/>
        <w:jc w:val="both"/>
        <w:rPr>
          <w:color w:val="1A1A1A"/>
          <w:szCs w:val="28"/>
        </w:rPr>
      </w:pPr>
      <w:r>
        <w:rPr>
          <w:color w:val="1A1A1A"/>
          <w:szCs w:val="28"/>
        </w:rPr>
        <w:t>официальное опубликование настоящего постановления в газете «Наша жизнь»;</w:t>
      </w:r>
    </w:p>
    <w:p>
      <w:pPr>
        <w:pStyle w:val="ListParagraph"/>
        <w:numPr>
          <w:ilvl w:val="1"/>
          <w:numId w:val="3"/>
        </w:numPr>
        <w:shd w:val="clear" w:color="auto" w:fill="FFFFFF"/>
        <w:ind w:firstLine="702" w:left="0"/>
        <w:jc w:val="both"/>
        <w:rPr>
          <w:color w:val="1A1A1A"/>
          <w:szCs w:val="28"/>
        </w:rPr>
      </w:pPr>
      <w:r>
        <w:rPr>
          <w:color w:val="1A1A1A"/>
          <w:szCs w:val="28"/>
        </w:rPr>
        <w:t>обнародование настоящего постановления путем размещения на информационных стендах, расположенных:</w:t>
      </w:r>
    </w:p>
    <w:p>
      <w:pPr>
        <w:pStyle w:val="Normal"/>
        <w:shd w:val="clear" w:color="auto" w:fill="FFFFFF"/>
        <w:ind w:firstLine="567"/>
        <w:jc w:val="both"/>
        <w:rPr>
          <w:color w:val="1A1A1A"/>
          <w:szCs w:val="28"/>
        </w:rPr>
      </w:pPr>
      <w:r>
        <w:rPr>
          <w:color w:val="1A1A1A"/>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567"/>
        <w:jc w:val="both"/>
        <w:rPr>
          <w:color w:val="1A1A1A"/>
          <w:szCs w:val="28"/>
        </w:rPr>
      </w:pPr>
      <w:r>
        <w:rPr>
          <w:color w:val="1A1A1A"/>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567"/>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ab/>
        <w:t>3.3. размещение настоящего постановления на официальном сайте администрации Ардатовского муниципального округа по адресу ardatov.nobl.ru.</w:t>
      </w:r>
    </w:p>
    <w:p>
      <w:pPr>
        <w:pStyle w:val="ListParagraph"/>
        <w:numPr>
          <w:ilvl w:val="0"/>
          <w:numId w:val="3"/>
        </w:numPr>
        <w:tabs>
          <w:tab w:val="clear" w:pos="708"/>
          <w:tab w:val="left" w:pos="142" w:leader="none"/>
        </w:tabs>
        <w:suppressAutoHyphens w:val="true"/>
        <w:ind w:firstLine="540" w:left="0"/>
        <w:jc w:val="both"/>
        <w:rPr>
          <w:szCs w:val="28"/>
        </w:rPr>
      </w:pPr>
      <w:r>
        <w:rPr>
          <w:szCs w:val="28"/>
        </w:rPr>
        <w:t>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Normal"/>
        <w:ind w:left="1125"/>
        <w:jc w:val="both"/>
        <w:rPr>
          <w:color w:val="000000"/>
          <w:szCs w:val="28"/>
        </w:rPr>
      </w:pPr>
      <w:r>
        <w:rPr>
          <w:color w:val="000000"/>
          <w:szCs w:val="28"/>
        </w:rPr>
      </w:r>
      <w:bookmarkEnd w:id="3"/>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bookmarkStart w:id="6" w:name="_Hlk162452559"/>
      <w:bookmarkEnd w:id="6"/>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tbl>
      <w:tblPr>
        <w:tblW w:w="10065" w:type="dxa"/>
        <w:jc w:val="left"/>
        <w:tblInd w:w="-426" w:type="dxa"/>
        <w:tblLayout w:type="fixed"/>
        <w:tblCellMar>
          <w:top w:w="0" w:type="dxa"/>
          <w:left w:w="108" w:type="dxa"/>
          <w:bottom w:w="0" w:type="dxa"/>
          <w:right w:w="108" w:type="dxa"/>
        </w:tblCellMar>
        <w:tblLook w:val="01e0" w:noHBand="0" w:noVBand="0" w:firstColumn="1" w:lastRow="1" w:lastColumn="1" w:firstRow="1"/>
      </w:tblPr>
      <w:tblGrid>
        <w:gridCol w:w="5845"/>
        <w:gridCol w:w="1481"/>
        <w:gridCol w:w="2738"/>
      </w:tblGrid>
      <w:tr>
        <w:trPr/>
        <w:tc>
          <w:tcPr>
            <w:tcW w:w="5845"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 года</w:t>
            </w:r>
          </w:p>
          <w:p>
            <w:pPr>
              <w:pStyle w:val="Normal"/>
              <w:widowControl w:val="false"/>
              <w:tabs>
                <w:tab w:val="clear" w:pos="708"/>
                <w:tab w:val="left" w:pos="142" w:leader="none"/>
                <w:tab w:val="left" w:pos="851" w:leader="none"/>
              </w:tabs>
              <w:jc w:val="both"/>
              <w:rPr>
                <w:szCs w:val="28"/>
              </w:rPr>
            </w:pPr>
            <w:r>
              <w:rPr>
                <w:szCs w:val="28"/>
              </w:rPr>
            </w:r>
          </w:p>
        </w:tc>
        <w:tc>
          <w:tcPr>
            <w:tcW w:w="4219"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r>
      <w:tr>
        <w:trPr/>
        <w:tc>
          <w:tcPr>
            <w:tcW w:w="7326"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управления сельского</w:t>
            </w:r>
          </w:p>
          <w:p>
            <w:pPr>
              <w:pStyle w:val="Normal"/>
              <w:widowControl w:val="false"/>
              <w:tabs>
                <w:tab w:val="clear" w:pos="708"/>
                <w:tab w:val="left" w:pos="142" w:leader="none"/>
                <w:tab w:val="left" w:pos="851" w:leader="none"/>
              </w:tabs>
              <w:ind w:firstLine="37"/>
              <w:jc w:val="both"/>
              <w:rPr>
                <w:szCs w:val="28"/>
              </w:rPr>
            </w:pPr>
            <w:r>
              <w:rPr>
                <w:szCs w:val="28"/>
              </w:rPr>
              <w:t xml:space="preserve">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t>______________________В.И.Кудряшов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 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2738" w:type="dxa"/>
            <w:tcBorders/>
          </w:tcPr>
          <w:p>
            <w:pPr>
              <w:pStyle w:val="Normal"/>
              <w:rPr/>
            </w:pPr>
            <w:r>
              <w:rPr/>
            </w:r>
          </w:p>
        </w:tc>
      </w:tr>
      <w:tr>
        <w:trPr/>
        <w:tc>
          <w:tcPr>
            <w:tcW w:w="7326"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2738" w:type="dxa"/>
            <w:tcBorders/>
          </w:tcPr>
          <w:p>
            <w:pPr>
              <w:pStyle w:val="Normal"/>
              <w:rPr/>
            </w:pPr>
            <w:r>
              <w:rPr/>
            </w:r>
          </w:p>
        </w:tc>
      </w:tr>
      <w:tr>
        <w:trPr/>
        <w:tc>
          <w:tcPr>
            <w:tcW w:w="7326" w:type="dxa"/>
            <w:gridSpan w:val="2"/>
            <w:tcBorders/>
          </w:tcPr>
          <w:p>
            <w:pPr>
              <w:pStyle w:val="Normal"/>
              <w:widowControl w:val="false"/>
              <w:tabs>
                <w:tab w:val="clear" w:pos="708"/>
                <w:tab w:val="left" w:pos="142" w:leader="none"/>
                <w:tab w:val="decimal" w:pos="175" w:leader="none"/>
                <w:tab w:val="left" w:pos="851" w:leader="none"/>
              </w:tabs>
              <w:ind w:right="1735"/>
              <w:jc w:val="both"/>
              <w:rPr>
                <w:sz w:val="26"/>
                <w:szCs w:val="26"/>
              </w:rPr>
            </w:pPr>
            <w:r>
              <w:rPr>
                <w:sz w:val="26"/>
                <w:szCs w:val="26"/>
              </w:rPr>
              <w:t xml:space="preserve">Начальник сектора по правовым </w:t>
            </w:r>
          </w:p>
          <w:p>
            <w:pPr>
              <w:pStyle w:val="Normal"/>
              <w:widowControl w:val="false"/>
              <w:tabs>
                <w:tab w:val="clear" w:pos="708"/>
                <w:tab w:val="left" w:pos="142" w:leader="none"/>
                <w:tab w:val="decimal" w:pos="175" w:leader="none"/>
                <w:tab w:val="left" w:pos="851" w:leader="none"/>
              </w:tabs>
              <w:ind w:right="1735"/>
              <w:jc w:val="both"/>
              <w:rPr>
                <w:sz w:val="26"/>
                <w:szCs w:val="26"/>
              </w:rPr>
            </w:pPr>
            <w:r>
              <w:rPr>
                <w:sz w:val="26"/>
                <w:szCs w:val="26"/>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 w:val="26"/>
                <w:szCs w:val="26"/>
              </w:rPr>
            </w:pPr>
            <w:r>
              <w:rPr>
                <w:sz w:val="26"/>
                <w:szCs w:val="26"/>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firstLine="142" w:left="-353" w:right="1735"/>
              <w:jc w:val="both"/>
              <w:rPr>
                <w:sz w:val="26"/>
                <w:szCs w:val="26"/>
              </w:rPr>
            </w:pPr>
            <w:r>
              <w:rPr>
                <w:sz w:val="26"/>
                <w:szCs w:val="26"/>
              </w:rPr>
              <w:t xml:space="preserve">______________________Н.А.Заботкина </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2738" w:type="dxa"/>
            <w:tcBorders/>
          </w:tcPr>
          <w:p>
            <w:pPr>
              <w:pStyle w:val="Normal"/>
              <w:rPr/>
            </w:pPr>
            <w:r>
              <w:rPr/>
            </w:r>
          </w:p>
        </w:tc>
      </w:tr>
    </w:tbl>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NoSpacing"/>
        <w:jc w:val="right"/>
        <w:rPr>
          <w:sz w:val="26"/>
          <w:szCs w:val="26"/>
        </w:rPr>
      </w:pPr>
      <w:bookmarkStart w:id="7" w:name="_Hlk162452633"/>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NoSpacing"/>
        <w:jc w:val="right"/>
        <w:rPr>
          <w:sz w:val="26"/>
          <w:szCs w:val="26"/>
        </w:rPr>
      </w:pPr>
      <w:r>
        <w:rPr>
          <w:sz w:val="26"/>
          <w:szCs w:val="26"/>
        </w:rPr>
        <w:t xml:space="preserve">                                                                                </w:t>
      </w:r>
      <w:r>
        <w:rPr>
          <w:sz w:val="26"/>
          <w:szCs w:val="26"/>
        </w:rPr>
        <w:t xml:space="preserve">от 12.04.2024 г. № </w:t>
      </w:r>
      <w:bookmarkEnd w:id="7"/>
      <w:r>
        <w:rPr>
          <w:sz w:val="26"/>
          <w:szCs w:val="26"/>
        </w:rPr>
        <w:t>439</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bCs/>
          <w:sz w:val="28"/>
          <w:szCs w:val="28"/>
        </w:rPr>
      </w:pPr>
      <w:r>
        <w:rPr>
          <w:rStyle w:val="FontStyle23"/>
          <w:sz w:val="28"/>
          <w:szCs w:val="28"/>
        </w:rPr>
        <w:t>предоставления субсидии на возмещение производителям зерновых культур части затрат на производство и реализацию зерновых культур</w:t>
      </w:r>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4">
        <w:bookmarkStart w:id="8" w:name="_Hlk162442623"/>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являющимися приложением 14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возмещение производителям зерновых культур части затрат на производство и реализацию зерновых культур,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 </w:t>
      </w:r>
      <w:r>
        <w:rPr>
          <w:rFonts w:cs="Times New Roman" w:ascii="Times New Roman" w:hAnsi="Times New Roman"/>
          <w:sz w:val="28"/>
          <w:szCs w:val="28"/>
        </w:rPr>
        <w:t>утвержденными постановлением Правительства Нижегородской области от 9 марта 2023 г. №193</w:t>
      </w:r>
      <w:bookmarkEnd w:id="8"/>
      <w:r>
        <w:rPr>
          <w:rFonts w:cs="Times New Roman" w:ascii="Times New Roman" w:hAnsi="Times New Roman"/>
          <w:sz w:val="28"/>
          <w:szCs w:val="28"/>
        </w:rPr>
        <w:t xml:space="preserve"> (далее – Порядок и условия), регулирует порядок предоставления из местного бюджета Ардатовского муниципального округа субсидий на </w:t>
      </w:r>
      <w:r>
        <w:rPr>
          <w:rStyle w:val="FontStyle23"/>
          <w:sz w:val="28"/>
          <w:szCs w:val="28"/>
        </w:rPr>
        <w:t>возмещение производителям зерновых культур части затрат на производство и реализацию зерновых культур</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w:t>
      </w:r>
      <w:r>
        <w:rPr>
          <w:rFonts w:cs="Times New Roman" w:ascii="Times New Roman" w:hAnsi="Times New Roman"/>
          <w:sz w:val="28"/>
          <w:szCs w:val="28"/>
        </w:rPr>
        <w:t>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Порядком и условиями и Правилами.</w:t>
      </w:r>
    </w:p>
    <w:p>
      <w:pPr>
        <w:pStyle w:val="NoSpacing"/>
        <w:spacing w:lineRule="auto" w:line="360"/>
        <w:ind w:firstLine="709"/>
        <w:jc w:val="both"/>
        <w:rPr>
          <w:szCs w:val="28"/>
        </w:rPr>
      </w:pPr>
      <w:r>
        <w:rPr>
          <w:szCs w:val="28"/>
        </w:rPr>
        <w:t xml:space="preserve">1.3. </w:t>
      </w:r>
      <w:r>
        <w:rPr>
          <w:sz w:val="28"/>
          <w:szCs w:val="28"/>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обеспечивающей достижение значений непосредственных результатов государственной программы Нижегородской области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1.5. Получатели субсидии в соответствии с пунктом 2 статьи 78.5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11.04.2024 г. № 5, принятым по итогам отбора проектов производства и реализации зерновых культур,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p>
    <w:p>
      <w:pPr>
        <w:pStyle w:val="Normal"/>
        <w:spacing w:lineRule="auto" w:line="360"/>
        <w:ind w:firstLine="709"/>
        <w:jc w:val="both"/>
        <w:rPr>
          <w:szCs w:val="28"/>
        </w:rPr>
      </w:pPr>
      <w:r>
        <w:rPr>
          <w:szCs w:val="28"/>
        </w:rPr>
        <w:t xml:space="preserve">- </w:t>
      </w:r>
      <w:r>
        <w:rPr>
          <w:color w:themeColor="text1" w:val="000000"/>
        </w:rPr>
        <w:t>СПК «Надежинский»</w:t>
      </w:r>
      <w:r>
        <w:rPr>
          <w:szCs w:val="28"/>
        </w:rPr>
        <w:t xml:space="preserve">, ИНН </w:t>
      </w:r>
      <w:r>
        <w:rPr>
          <w:color w:themeColor="text1" w:val="000000"/>
        </w:rPr>
        <w:t>5201002631</w:t>
      </w:r>
      <w:r>
        <w:rPr>
          <w:szCs w:val="28"/>
        </w:rPr>
        <w:t xml:space="preserve">; </w:t>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 xml:space="preserve">АО «Кузятовское», </w:t>
      </w:r>
      <w:r>
        <w:rPr>
          <w:szCs w:val="28"/>
        </w:rPr>
        <w:t>ИНН</w:t>
      </w:r>
      <w:r>
        <w:rPr>
          <w:color w:themeColor="text1" w:val="000000"/>
          <w:szCs w:val="28"/>
        </w:rPr>
        <w:t xml:space="preserve"> 5201004205;</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«Агрофирма «Приволье», ИНН 5201001050;</w:t>
      </w:r>
    </w:p>
    <w:p>
      <w:pPr>
        <w:pStyle w:val="Normal"/>
        <w:spacing w:lineRule="auto" w:line="360"/>
        <w:ind w:firstLine="709"/>
        <w:jc w:val="both"/>
        <w:rPr>
          <w:color w:themeColor="text1" w:val="000000"/>
        </w:rPr>
      </w:pPr>
      <w:r>
        <w:rPr>
          <w:szCs w:val="28"/>
        </w:rPr>
        <w:t xml:space="preserve">- </w:t>
      </w:r>
      <w:r>
        <w:rPr>
          <w:color w:themeColor="text1" w:val="000000"/>
        </w:rPr>
        <w:t xml:space="preserve">ООО «Агрофирма «Металлург», </w:t>
      </w:r>
      <w:r>
        <w:rPr>
          <w:szCs w:val="28"/>
        </w:rPr>
        <w:t>ИНН</w:t>
      </w:r>
      <w:r>
        <w:rPr>
          <w:color w:themeColor="text1" w:val="000000"/>
        </w:rPr>
        <w:t xml:space="preserve"> 5247015168;</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«Велес», ИНН 5201003226;</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ООО «Красавин», ИНН 5254496960;</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ИП Абаев Ш.Ш., ИНН 520104013106;</w:t>
      </w:r>
    </w:p>
    <w:p>
      <w:pPr>
        <w:pStyle w:val="Normal"/>
        <w:spacing w:lineRule="auto" w:line="360"/>
        <w:ind w:firstLine="709"/>
        <w:jc w:val="both"/>
        <w:rPr>
          <w:color w:themeColor="text1" w:val="000000"/>
          <w:szCs w:val="28"/>
        </w:rPr>
      </w:pPr>
      <w:r>
        <w:rPr>
          <w:color w:themeColor="text1" w:val="000000"/>
          <w:szCs w:val="28"/>
        </w:rPr>
        <w:t>- ИП ГКФХ Солодов А.И., ИНН 520100613688;</w:t>
      </w:r>
    </w:p>
    <w:p>
      <w:pPr>
        <w:pStyle w:val="Normal"/>
        <w:spacing w:lineRule="auto" w:line="360"/>
        <w:ind w:firstLine="709"/>
        <w:jc w:val="both"/>
        <w:rPr>
          <w:color w:themeColor="text1" w:val="000000"/>
          <w:szCs w:val="28"/>
        </w:rPr>
      </w:pPr>
      <w:r>
        <w:rPr>
          <w:color w:themeColor="text1" w:val="000000"/>
          <w:szCs w:val="28"/>
        </w:rPr>
        <w:t>- ИП ГКФХ Щетинин В.И., ИНН 520103269842;</w:t>
      </w:r>
    </w:p>
    <w:p>
      <w:pPr>
        <w:pStyle w:val="Normal"/>
        <w:spacing w:lineRule="auto" w:line="360"/>
        <w:ind w:firstLine="709"/>
        <w:jc w:val="both"/>
        <w:rPr>
          <w:color w:themeColor="text1" w:val="000000"/>
        </w:rPr>
      </w:pPr>
      <w:r>
        <w:rPr>
          <w:color w:themeColor="text1" w:val="000000"/>
          <w:szCs w:val="28"/>
        </w:rPr>
        <w:t xml:space="preserve">- </w:t>
      </w:r>
      <w:r>
        <w:rPr>
          <w:color w:themeColor="text1" w:val="000000"/>
        </w:rPr>
        <w:t xml:space="preserve">ИП ГКФХ Красавин В.В., </w:t>
      </w:r>
      <w:r>
        <w:rPr>
          <w:szCs w:val="28"/>
        </w:rPr>
        <w:t>ИНН</w:t>
      </w:r>
      <w:r>
        <w:rPr>
          <w:color w:themeColor="text1" w:val="000000"/>
        </w:rPr>
        <w:t xml:space="preserve"> 520101859028;</w:t>
      </w:r>
    </w:p>
    <w:p>
      <w:pPr>
        <w:pStyle w:val="Normal"/>
        <w:spacing w:lineRule="auto" w:line="360"/>
        <w:ind w:firstLine="709"/>
        <w:jc w:val="both"/>
        <w:rPr>
          <w:color w:themeColor="text1" w:val="000000"/>
          <w:szCs w:val="28"/>
        </w:rPr>
      </w:pPr>
      <w:r>
        <w:rPr>
          <w:color w:themeColor="text1" w:val="000000"/>
          <w:szCs w:val="28"/>
        </w:rPr>
        <w:t>- КФХ Ваганов С.Н., ИНН 520100046982.</w:t>
      </w:r>
    </w:p>
    <w:p>
      <w:pPr>
        <w:pStyle w:val="Normal"/>
        <w:spacing w:lineRule="auto" w:line="360"/>
        <w:ind w:firstLine="709"/>
        <w:jc w:val="both"/>
        <w:rPr>
          <w:szCs w:val="28"/>
        </w:rPr>
      </w:pPr>
      <w:r>
        <w:rPr>
          <w:szCs w:val="28"/>
        </w:rPr>
        <w:t xml:space="preserve"> </w:t>
      </w:r>
    </w:p>
    <w:p>
      <w:pPr>
        <w:pStyle w:val="Normal"/>
        <w:spacing w:lineRule="auto" w:line="360"/>
        <w:ind w:firstLine="709"/>
        <w:jc w:val="both"/>
        <w:rPr>
          <w:szCs w:val="28"/>
        </w:rPr>
      </w:pPr>
      <w:r>
        <w:rPr>
          <w:szCs w:val="28"/>
        </w:rPr>
        <w:t>1.6. Способом предоставления субсидии является возмещение затрат.</w:t>
      </w:r>
    </w:p>
    <w:p>
      <w:pPr>
        <w:pStyle w:val="Normal"/>
        <w:spacing w:lineRule="auto" w:line="36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 </w:t>
      </w:r>
      <w:bookmarkStart w:id="9" w:name="_Hlk162452219"/>
      <w:r>
        <w:rPr>
          <w:rFonts w:cs="Times New Roman" w:ascii="Times New Roman" w:hAnsi="Times New Roman"/>
          <w:sz w:val="28"/>
          <w:szCs w:val="28"/>
        </w:rPr>
        <w:t xml:space="preserve">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bookmarkEnd w:id="9"/>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направлением затрат, предусмотренным пунктом 2.8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б)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2.3. Соответствие требованиям, установленным в подпунктах 2.2.1 – 2.2.6, подпунктами «а» - «в» подпункта 2.2.7 пункта 2.2 настоящего Порядка, получатель субсидии подтверждает в заявлении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Решении, в срок не позднее 10 календарных дней с даты принятия Решения,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заявление о предоставлении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 субсидии по форме, утвержденной Минсельхозпродом;</w:t>
      </w:r>
    </w:p>
    <w:p>
      <w:pPr>
        <w:pStyle w:val="Normal"/>
        <w:spacing w:lineRule="auto" w:line="360"/>
        <w:ind w:firstLine="709"/>
        <w:jc w:val="both"/>
        <w:rPr>
          <w:szCs w:val="28"/>
        </w:rPr>
      </w:pPr>
      <w:r>
        <w:rPr>
          <w:szCs w:val="28"/>
        </w:rPr>
        <w:t>сведения из Федеральной системы прослеживаемости зерна об объемах производства зерновых культур собственного производства;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реестр документов, подтверждающих факт реализации зерновых культур собственного производства (договоры поставки, товаросопроводительные документы на партию зерна или партию продуктов переработки зерна, товарные накладные и (или) универсальные передаточные документы, платежные поручения), по форме, утвержденной Минсельхозпродом. Реестр предоставляется с приложением товаросопроводительных документов на партию зерна или партию продуктов переработки зерна, оформленных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 1721. Реестр представляется с предъявлением оригиналов документов, указанных в реестре;</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реестр документов, подтверждающих фактически произведенные затраты, по форме, утвержденной Минсельхозпродом. Реестр представляется с предъявлением оригиналов документов, указанных в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документа, являющегося основанием применения коэффициента в соответствии с пунктом 7.1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5 рабочих дней со дня, следующего за днем получения документов, предусмотренных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пунктом 8 Порядка и условий.</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sz w:val="28"/>
          <w:szCs w:val="28"/>
        </w:rPr>
      </w:pPr>
      <w:r>
        <w:rPr>
          <w:rFonts w:cs="Times New Roman" w:ascii="Times New Roman" w:hAnsi="Times New Roman"/>
          <w:sz w:val="28"/>
          <w:szCs w:val="28"/>
        </w:rPr>
        <w:t>2.8.1. К направлениям затрат, на возмещение которых предоставляется субсидия, относятся понесенные получателями в текущем и (или) предшествующем годах затраты (без учета налога на добавленную стоимость) на производство и реализацию зерновых культур.</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rmal"/>
        <w:widowControl w:val="false"/>
        <w:spacing w:lineRule="auto" w:line="360"/>
        <w:ind w:firstLine="709"/>
        <w:jc w:val="both"/>
        <w:rPr>
          <w:szCs w:val="28"/>
        </w:rPr>
      </w:pPr>
      <w:r>
        <w:rPr>
          <w:szCs w:val="28"/>
        </w:rPr>
        <w:t>Понесенные получателем субсидии затраты осуществляются в рамках реализации проектов производства и реализации зерновых культур,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Размер предоставляемой субсидии определяется в следующем порядке.</w:t>
      </w:r>
    </w:p>
    <w:p>
      <w:pPr>
        <w:pStyle w:val="Normal"/>
        <w:widowControl w:val="false"/>
        <w:spacing w:lineRule="auto" w:line="360"/>
        <w:ind w:firstLine="709"/>
        <w:jc w:val="both"/>
        <w:rPr>
          <w:szCs w:val="28"/>
        </w:rPr>
      </w:pPr>
      <w:r>
        <w:rPr>
          <w:szCs w:val="28"/>
        </w:rPr>
        <w:t>Расчет размера субсидии осуществляется по ставке на 1 тонну реализованных зерновых культур собственного производства, утвержденной Минсельхозпродом.</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Размер субсидии, предоставляемой получателю субсидии, не может составлять более 50 процентов фактических затрат получателя субсидии, на возмещение которых предоставляется субсидия.</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В случае, если в отчетном финансовом году осуществлялось сельскохозяйственное страхование, осуществляемое с государственной поддержкой, в отношении земельного участка (земельных участков), занятого (занятых) посевами конкретной зерновой культуры, в целях компенсации части затрат на производство и реализацию которых предоставляется субсидия, при расчете размера ставок, указанных в абзаце первом настоящего пункта, применяется коэффициент Кс, равный 1.</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Коэффициент Кс применяется на основании представленной получателем субсидии в соответствии с пунктом 2.4 настоящего Порядка заверенной им копии договора сельскохозяйственного страхования, осуществляемого с государственной поддержкой.</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Для остальных земельных участков, а также для получателей субсидии, не представивших документы, являющиеся основанием применения коэффициента, применяется коэффициент Кс, равный 0,5.</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пунктом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сводных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2.4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Pr>
          <w:rFonts w:cs="Times New Roman" w:ascii="Times New Roman" w:hAnsi="Times New Roman"/>
          <w:sz w:val="28"/>
          <w:szCs w:val="28"/>
          <w:highlight w:val="green"/>
        </w:rPr>
        <w:t xml:space="preserve"> </w:t>
      </w:r>
      <w:r>
        <w:rPr>
          <w:rFonts w:cs="Times New Roman" w:ascii="Times New Roman" w:hAnsi="Times New Roman"/>
          <w:sz w:val="28"/>
          <w:szCs w:val="28"/>
        </w:rPr>
        <w:t>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spacing w:lineRule="auto" w:line="360"/>
        <w:ind w:firstLine="709"/>
        <w:jc w:val="both"/>
        <w:rPr>
          <w:szCs w:val="28"/>
        </w:rPr>
      </w:pPr>
      <w:r>
        <w:rPr>
          <w:szCs w:val="28"/>
        </w:rPr>
        <w:t xml:space="preserve">2.15. Результатом предоставления субсидии является </w:t>
      </w:r>
      <w:bookmarkStart w:id="10" w:name="_Hlk162442853"/>
      <w:r>
        <w:rPr>
          <w:szCs w:val="28"/>
        </w:rPr>
        <w:t xml:space="preserve">объем реализованных зерновых культур собственного производства (тонн) за период с 1 января по 31 декабря года предоставления субсидии и (или) с 1 августа года, предшествующего году получения субсидии. </w:t>
      </w:r>
      <w:bookmarkEnd w:id="10"/>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ежеквартально, в срок до 20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и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headerReference w:type="even" r:id="rId5"/>
      <w:headerReference w:type="default" r:id="rId6"/>
      <w:headerReference w:type="first" r:id="rId7"/>
      <w:type w:val="nextPage"/>
      <w:pgSz w:w="11906" w:h="16838"/>
      <w:pgMar w:left="1701" w:right="850"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25" w:hanging="585"/>
      </w:pPr>
      <w:rPr>
        <w:b w:val="false"/>
        <w:bCs/>
        <w:color w:val="auto"/>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3">
    <w:lvl w:ilvl="0">
      <w:start w:val="3"/>
      <w:numFmt w:val="decimal"/>
      <w:lvlText w:val="%1."/>
      <w:lvlJc w:val="left"/>
      <w:pPr>
        <w:tabs>
          <w:tab w:val="num" w:pos="0"/>
        </w:tabs>
        <w:ind w:left="450" w:hanging="450"/>
      </w:pPr>
      <w:rPr/>
    </w:lvl>
    <w:lvl w:ilvl="1">
      <w:start w:val="1"/>
      <w:numFmt w:val="decimal"/>
      <w:lvlText w:val="%1.%2."/>
      <w:lvlJc w:val="left"/>
      <w:pPr>
        <w:tabs>
          <w:tab w:val="num" w:pos="0"/>
        </w:tabs>
        <w:ind w:left="1422" w:hanging="720"/>
      </w:pPr>
      <w:rPr/>
    </w:lvl>
    <w:lvl w:ilvl="2">
      <w:start w:val="1"/>
      <w:numFmt w:val="decimal"/>
      <w:lvlText w:val="%1.%2.%3."/>
      <w:lvlJc w:val="left"/>
      <w:pPr>
        <w:tabs>
          <w:tab w:val="num" w:pos="0"/>
        </w:tabs>
        <w:ind w:left="2124" w:hanging="720"/>
      </w:pPr>
      <w:rPr/>
    </w:lvl>
    <w:lvl w:ilvl="3">
      <w:start w:val="1"/>
      <w:numFmt w:val="decimal"/>
      <w:lvlText w:val="%1.%2.%3.%4."/>
      <w:lvlJc w:val="left"/>
      <w:pPr>
        <w:tabs>
          <w:tab w:val="num" w:pos="0"/>
        </w:tabs>
        <w:ind w:left="3186" w:hanging="1080"/>
      </w:pPr>
      <w:rPr/>
    </w:lvl>
    <w:lvl w:ilvl="4">
      <w:start w:val="1"/>
      <w:numFmt w:val="decimal"/>
      <w:lvlText w:val="%1.%2.%3.%4.%5."/>
      <w:lvlJc w:val="left"/>
      <w:pPr>
        <w:tabs>
          <w:tab w:val="num" w:pos="0"/>
        </w:tabs>
        <w:ind w:left="3888" w:hanging="1080"/>
      </w:pPr>
      <w:rPr/>
    </w:lvl>
    <w:lvl w:ilvl="5">
      <w:start w:val="1"/>
      <w:numFmt w:val="decimal"/>
      <w:lvlText w:val="%1.%2.%3.%4.%5.%6."/>
      <w:lvlJc w:val="left"/>
      <w:pPr>
        <w:tabs>
          <w:tab w:val="num" w:pos="0"/>
        </w:tabs>
        <w:ind w:left="4950" w:hanging="1440"/>
      </w:pPr>
      <w:rPr/>
    </w:lvl>
    <w:lvl w:ilvl="6">
      <w:start w:val="1"/>
      <w:numFmt w:val="decimal"/>
      <w:lvlText w:val="%1.%2.%3.%4.%5.%6.%7."/>
      <w:lvlJc w:val="left"/>
      <w:pPr>
        <w:tabs>
          <w:tab w:val="num" w:pos="0"/>
        </w:tabs>
        <w:ind w:left="6012" w:hanging="1800"/>
      </w:pPr>
      <w:rPr/>
    </w:lvl>
    <w:lvl w:ilvl="7">
      <w:start w:val="1"/>
      <w:numFmt w:val="decimal"/>
      <w:lvlText w:val="%1.%2.%3.%4.%5.%6.%7.%8."/>
      <w:lvlJc w:val="left"/>
      <w:pPr>
        <w:tabs>
          <w:tab w:val="num" w:pos="0"/>
        </w:tabs>
        <w:ind w:left="6714" w:hanging="1800"/>
      </w:pPr>
      <w:rPr/>
    </w:lvl>
    <w:lvl w:ilvl="8">
      <w:start w:val="1"/>
      <w:numFmt w:val="decimal"/>
      <w:lvlText w:val="%1.%2.%3.%4.%5.%6.%7.%8.%9."/>
      <w:lvlJc w:val="left"/>
      <w:pPr>
        <w:tabs>
          <w:tab w:val="num" w:pos="0"/>
        </w:tabs>
        <w:ind w:left="7776" w:hanging="21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bc0150"/>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bc0150"/>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bc0150"/>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bc0150"/>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bc0150"/>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bc0150"/>
    <w:rPr>
      <w:rFonts w:ascii="Arial" w:hAnsi="Arial" w:eastAsia="SimSun" w:cs="Arial"/>
      <w:b/>
      <w:bCs/>
      <w:sz w:val="26"/>
      <w:szCs w:val="26"/>
      <w:lang w:eastAsia="zh-CN"/>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uiPriority w:val="99"/>
    <w:qFormat/>
    <w:rsid w:val="00356bf4"/>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2"/>
      <w:lang w:eastAsia="ru-RU" w:val="ru-RU" w:bidi="ar-SA"/>
    </w:rPr>
  </w:style>
  <w:style w:type="paragraph" w:styleId="ListParagraph">
    <w:name w:val="List Paragraph"/>
    <w:basedOn w:val="Normal"/>
    <w:uiPriority w:val="34"/>
    <w:qFormat/>
    <w:rsid w:val="00bc0150"/>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yperlink" Target="https://login.consultant.ru/link/?req=doc&amp;base=LAW&amp;n=397394&amp;dst=100021&amp;field=134&amp;date=26.10.2021"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A4A4-AB45-4B0E-98FE-FC85A5F9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LibreOffice/24.8.4.1$Linux_X86_64 LibreOffice_project/480$Build-1</Application>
  <AppVersion>15.0000</AppVersion>
  <Pages>11</Pages>
  <Words>4126</Words>
  <Characters>31914</Characters>
  <CharactersWithSpaces>36245</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2024-04-02T11:10:00Z</dcterms:created>
  <dc:creator>Ирина Карпычева</dc:creator>
  <dc:description/>
  <dc:language>ru-RU</dc:language>
  <cp:lastModifiedBy>Сельское Хозяйство</cp:lastModifiedBy>
  <cp:lastPrinted>2024-06-05T11:58:00Z</cp:lastPrinted>
  <dcterms:modified xsi:type="dcterms:W3CDTF">2024-06-05T11:58:00Z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